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859" w:type="dxa"/>
        <w:tblLook w:val="01E0" w:firstRow="1" w:lastRow="1" w:firstColumn="1" w:lastColumn="1" w:noHBand="0" w:noVBand="0"/>
      </w:tblPr>
      <w:tblGrid>
        <w:gridCol w:w="4219"/>
        <w:gridCol w:w="5640"/>
      </w:tblGrid>
      <w:tr w:rsidR="00133239" w:rsidRPr="00916079" w:rsidTr="00396D14">
        <w:tc>
          <w:tcPr>
            <w:tcW w:w="4219" w:type="dxa"/>
            <w:shd w:val="clear" w:color="auto" w:fill="auto"/>
          </w:tcPr>
          <w:p w:rsidR="00133239" w:rsidRPr="00916079" w:rsidRDefault="00133239" w:rsidP="00133239">
            <w:pPr>
              <w:spacing w:after="0" w:afterAutospacing="0" w:line="240" w:lineRule="auto"/>
              <w:ind w:right="-488"/>
              <w:rPr>
                <w:sz w:val="24"/>
                <w:szCs w:val="24"/>
              </w:rPr>
            </w:pPr>
            <w:r w:rsidRPr="00916079">
              <w:rPr>
                <w:sz w:val="24"/>
                <w:szCs w:val="24"/>
              </w:rPr>
              <w:t>PHÒNG GD&amp;ĐT DIỄN CHÂU</w:t>
            </w:r>
          </w:p>
          <w:p w:rsidR="00133239" w:rsidRPr="00916079" w:rsidRDefault="00133239" w:rsidP="00133239">
            <w:pPr>
              <w:spacing w:after="0" w:afterAutospacing="0" w:line="240" w:lineRule="auto"/>
              <w:ind w:left="-284"/>
              <w:rPr>
                <w:b/>
                <w:bCs/>
                <w:sz w:val="24"/>
                <w:szCs w:val="24"/>
              </w:rPr>
            </w:pPr>
            <w:r w:rsidRPr="00916079">
              <w:rPr>
                <w:b/>
                <w:bCs/>
                <w:sz w:val="24"/>
                <w:szCs w:val="24"/>
              </w:rPr>
              <w:t xml:space="preserve">     TRƯỜNG </w:t>
            </w:r>
            <w:r w:rsidR="00877B5F">
              <w:rPr>
                <w:b/>
                <w:bCs/>
                <w:sz w:val="24"/>
                <w:szCs w:val="24"/>
              </w:rPr>
              <w:t>THCS P . CHÍ KIÊN</w:t>
            </w:r>
          </w:p>
          <w:p w:rsidR="00133239" w:rsidRPr="00916079" w:rsidRDefault="00133239" w:rsidP="00133239">
            <w:pPr>
              <w:spacing w:after="0" w:afterAutospacing="0" w:line="240" w:lineRule="auto"/>
              <w:jc w:val="center"/>
              <w:rPr>
                <w:b/>
                <w:bCs/>
                <w:sz w:val="24"/>
                <w:szCs w:val="24"/>
                <w:u w:val="single"/>
                <w:vertAlign w:val="superscript"/>
              </w:rPr>
            </w:pPr>
            <w:r w:rsidRPr="00916079">
              <w:rPr>
                <w:b/>
                <w:bCs/>
                <w:noProof/>
                <w:sz w:val="24"/>
                <w:szCs w:val="24"/>
                <w:u w:val="single"/>
                <w:vertAlign w:val="superscript"/>
              </w:rPr>
              <mc:AlternateContent>
                <mc:Choice Requires="wps">
                  <w:drawing>
                    <wp:anchor distT="0" distB="0" distL="114300" distR="114300" simplePos="0" relativeHeight="251660288" behindDoc="0" locked="0" layoutInCell="1" allowOverlap="1" wp14:anchorId="28CCB726" wp14:editId="509B0418">
                      <wp:simplePos x="0" y="0"/>
                      <wp:positionH relativeFrom="column">
                        <wp:posOffset>383540</wp:posOffset>
                      </wp:positionH>
                      <wp:positionV relativeFrom="paragraph">
                        <wp:posOffset>29845</wp:posOffset>
                      </wp:positionV>
                      <wp:extent cx="1243965" cy="0"/>
                      <wp:effectExtent l="12065"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2.35pt" to="12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E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J8s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"/>
                  </w:pict>
                </mc:Fallback>
              </mc:AlternateContent>
            </w:r>
          </w:p>
        </w:tc>
        <w:tc>
          <w:tcPr>
            <w:tcW w:w="5640" w:type="dxa"/>
            <w:shd w:val="clear" w:color="auto" w:fill="auto"/>
          </w:tcPr>
          <w:p w:rsidR="00133239" w:rsidRPr="00916079" w:rsidRDefault="00133239" w:rsidP="00133239">
            <w:pPr>
              <w:tabs>
                <w:tab w:val="center" w:pos="1710"/>
                <w:tab w:val="center" w:pos="6570"/>
              </w:tabs>
              <w:spacing w:after="0" w:afterAutospacing="0" w:line="240" w:lineRule="auto"/>
              <w:ind w:right="-488"/>
              <w:rPr>
                <w:b/>
                <w:bCs/>
                <w:sz w:val="24"/>
                <w:szCs w:val="24"/>
              </w:rPr>
            </w:pPr>
            <w:r w:rsidRPr="00916079">
              <w:rPr>
                <w:b/>
                <w:sz w:val="24"/>
                <w:szCs w:val="24"/>
              </w:rPr>
              <w:t>C</w:t>
            </w:r>
            <w:r w:rsidRPr="00916079">
              <w:rPr>
                <w:b/>
                <w:bCs/>
                <w:sz w:val="24"/>
                <w:szCs w:val="24"/>
              </w:rPr>
              <w:t>ỘNG HÒA XÃ HỘI CHỦ NGHĨA VIỆT NAM</w:t>
            </w:r>
          </w:p>
          <w:p w:rsidR="00133239" w:rsidRPr="00916079" w:rsidRDefault="00133239" w:rsidP="00133239">
            <w:pPr>
              <w:tabs>
                <w:tab w:val="center" w:pos="1710"/>
                <w:tab w:val="center" w:pos="6570"/>
              </w:tabs>
              <w:spacing w:after="0" w:afterAutospacing="0" w:line="240" w:lineRule="auto"/>
              <w:ind w:right="-488"/>
              <w:rPr>
                <w:b/>
                <w:bCs/>
                <w:sz w:val="24"/>
                <w:szCs w:val="24"/>
              </w:rPr>
            </w:pPr>
            <w:r w:rsidRPr="00916079">
              <w:rPr>
                <w:b/>
                <w:bCs/>
                <w:sz w:val="24"/>
                <w:szCs w:val="24"/>
              </w:rPr>
              <w:t xml:space="preserve">              Độc lập –Tự do – Hạnh phúc</w:t>
            </w:r>
          </w:p>
          <w:p w:rsidR="00133239" w:rsidRPr="00916079" w:rsidRDefault="00133239" w:rsidP="00133239">
            <w:pPr>
              <w:tabs>
                <w:tab w:val="center" w:pos="1710"/>
                <w:tab w:val="center" w:pos="6570"/>
              </w:tabs>
              <w:spacing w:after="0" w:afterAutospacing="0" w:line="240" w:lineRule="auto"/>
              <w:ind w:right="-488"/>
              <w:jc w:val="center"/>
              <w:rPr>
                <w:sz w:val="24"/>
                <w:szCs w:val="24"/>
                <w:vertAlign w:val="superscript"/>
              </w:rPr>
            </w:pPr>
            <w:r w:rsidRPr="00916079">
              <w:rPr>
                <w:noProof/>
                <w:sz w:val="24"/>
                <w:szCs w:val="24"/>
                <w:vertAlign w:val="superscript"/>
              </w:rPr>
              <mc:AlternateContent>
                <mc:Choice Requires="wps">
                  <w:drawing>
                    <wp:anchor distT="0" distB="0" distL="114300" distR="114300" simplePos="0" relativeHeight="251661312" behindDoc="0" locked="0" layoutInCell="1" allowOverlap="1" wp14:anchorId="65F8FE02" wp14:editId="1C358525">
                      <wp:simplePos x="0" y="0"/>
                      <wp:positionH relativeFrom="column">
                        <wp:posOffset>645795</wp:posOffset>
                      </wp:positionH>
                      <wp:positionV relativeFrom="paragraph">
                        <wp:posOffset>38100</wp:posOffset>
                      </wp:positionV>
                      <wp:extent cx="1910080" cy="0"/>
                      <wp:effectExtent l="7620"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pt" to="20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PH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szSd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"/>
                  </w:pict>
                </mc:Fallback>
              </mc:AlternateContent>
            </w:r>
          </w:p>
        </w:tc>
      </w:tr>
      <w:tr w:rsidR="00133239" w:rsidRPr="00DD5CE7" w:rsidTr="00396D14">
        <w:tc>
          <w:tcPr>
            <w:tcW w:w="4219" w:type="dxa"/>
            <w:shd w:val="clear" w:color="auto" w:fill="auto"/>
          </w:tcPr>
          <w:p w:rsidR="00133239" w:rsidRPr="006B7E12" w:rsidRDefault="00133239" w:rsidP="00F90495">
            <w:pPr>
              <w:tabs>
                <w:tab w:val="center" w:pos="1710"/>
                <w:tab w:val="center" w:pos="6570"/>
              </w:tabs>
              <w:spacing w:after="0" w:afterAutospacing="0" w:line="240" w:lineRule="auto"/>
              <w:ind w:right="-488"/>
              <w:rPr>
                <w:sz w:val="20"/>
                <w:szCs w:val="20"/>
              </w:rPr>
            </w:pPr>
            <w:r w:rsidRPr="00DD5CE7">
              <w:rPr>
                <w:sz w:val="26"/>
                <w:szCs w:val="26"/>
              </w:rPr>
              <w:t xml:space="preserve">     </w:t>
            </w:r>
            <w:r w:rsidRPr="006B7E12">
              <w:rPr>
                <w:sz w:val="20"/>
                <w:szCs w:val="20"/>
              </w:rPr>
              <w:t xml:space="preserve">Số : </w:t>
            </w:r>
            <w:r w:rsidR="00877B5F">
              <w:rPr>
                <w:sz w:val="20"/>
                <w:szCs w:val="20"/>
              </w:rPr>
              <w:t>1</w:t>
            </w:r>
            <w:r w:rsidR="00916079">
              <w:rPr>
                <w:sz w:val="20"/>
                <w:szCs w:val="20"/>
              </w:rPr>
              <w:t>4</w:t>
            </w:r>
            <w:r w:rsidRPr="006B7E12">
              <w:rPr>
                <w:sz w:val="20"/>
                <w:szCs w:val="20"/>
              </w:rPr>
              <w:t xml:space="preserve"> /QĐ-THCS</w:t>
            </w:r>
            <w:r w:rsidR="00916079">
              <w:rPr>
                <w:sz w:val="20"/>
                <w:szCs w:val="20"/>
              </w:rPr>
              <w:t>PCK</w:t>
            </w:r>
          </w:p>
        </w:tc>
        <w:tc>
          <w:tcPr>
            <w:tcW w:w="5640" w:type="dxa"/>
            <w:shd w:val="clear" w:color="auto" w:fill="auto"/>
          </w:tcPr>
          <w:p w:rsidR="00133239" w:rsidRPr="00DD5CE7" w:rsidRDefault="00916079" w:rsidP="00877B5F">
            <w:pPr>
              <w:tabs>
                <w:tab w:val="center" w:pos="1710"/>
                <w:tab w:val="center" w:pos="6570"/>
              </w:tabs>
              <w:spacing w:after="0" w:afterAutospacing="0" w:line="240" w:lineRule="auto"/>
              <w:ind w:right="-488"/>
              <w:jc w:val="center"/>
              <w:rPr>
                <w:b/>
                <w:sz w:val="26"/>
                <w:szCs w:val="26"/>
              </w:rPr>
            </w:pPr>
            <w:r>
              <w:rPr>
                <w:bCs/>
                <w:i/>
                <w:iCs/>
                <w:sz w:val="26"/>
                <w:szCs w:val="26"/>
              </w:rPr>
              <w:t>Diễn Yên</w:t>
            </w:r>
            <w:r w:rsidR="00133239" w:rsidRPr="00DD5CE7">
              <w:rPr>
                <w:bCs/>
                <w:i/>
                <w:iCs/>
                <w:sz w:val="26"/>
                <w:szCs w:val="26"/>
              </w:rPr>
              <w:t xml:space="preserve">, ngày </w:t>
            </w:r>
            <w:r w:rsidR="00877B5F">
              <w:rPr>
                <w:bCs/>
                <w:i/>
                <w:iCs/>
                <w:sz w:val="26"/>
                <w:szCs w:val="26"/>
              </w:rPr>
              <w:t>16</w:t>
            </w:r>
            <w:r w:rsidR="00133239" w:rsidRPr="00DD5CE7">
              <w:rPr>
                <w:bCs/>
                <w:i/>
                <w:iCs/>
                <w:sz w:val="26"/>
                <w:szCs w:val="26"/>
              </w:rPr>
              <w:t xml:space="preserve"> tháng 01  năm </w:t>
            </w:r>
            <w:r w:rsidR="00F90495">
              <w:rPr>
                <w:bCs/>
                <w:i/>
                <w:iCs/>
                <w:sz w:val="26"/>
                <w:szCs w:val="26"/>
              </w:rPr>
              <w:t>20</w:t>
            </w:r>
            <w:r w:rsidR="00877B5F">
              <w:rPr>
                <w:bCs/>
                <w:i/>
                <w:iCs/>
                <w:sz w:val="26"/>
                <w:szCs w:val="26"/>
              </w:rPr>
              <w:t>20</w:t>
            </w:r>
          </w:p>
        </w:tc>
      </w:tr>
    </w:tbl>
    <w:p w:rsidR="00133239" w:rsidRPr="00DD5CE7" w:rsidRDefault="00133239" w:rsidP="00133239">
      <w:pPr>
        <w:tabs>
          <w:tab w:val="center" w:pos="1710"/>
          <w:tab w:val="center" w:pos="6570"/>
        </w:tabs>
        <w:spacing w:after="0" w:afterAutospacing="0" w:line="240" w:lineRule="auto"/>
        <w:ind w:right="-488"/>
      </w:pP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QUYẾT ĐỊNH</w:t>
      </w:r>
    </w:p>
    <w:p w:rsidR="00133239" w:rsidRPr="00133239" w:rsidRDefault="00133239" w:rsidP="00133239">
      <w:pPr>
        <w:shd w:val="clear" w:color="auto" w:fill="FFFFFF"/>
        <w:spacing w:after="0" w:afterAutospacing="0" w:line="240" w:lineRule="auto"/>
        <w:jc w:val="center"/>
        <w:rPr>
          <w:rFonts w:eastAsia="Times New Roman" w:cs="Times New Roman"/>
          <w:b/>
          <w:bCs/>
          <w:color w:val="333333"/>
          <w:szCs w:val="28"/>
        </w:rPr>
      </w:pPr>
      <w:r w:rsidRPr="00133239">
        <w:rPr>
          <w:rFonts w:eastAsia="Times New Roman" w:cs="Times New Roman"/>
          <w:b/>
          <w:bCs/>
          <w:color w:val="333333"/>
          <w:szCs w:val="28"/>
        </w:rPr>
        <w:t>Về việc ban hành Quy chế quản lý, sử dụng tài sản công trong trường học</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Pr="00133239" w:rsidRDefault="00133239" w:rsidP="00133239">
      <w:pPr>
        <w:shd w:val="clear" w:color="auto" w:fill="FFFFFF"/>
        <w:spacing w:after="0" w:afterAutospacing="0" w:line="240" w:lineRule="auto"/>
        <w:jc w:val="center"/>
        <w:rPr>
          <w:rFonts w:eastAsia="Times New Roman" w:cs="Times New Roman"/>
          <w:b/>
          <w:bCs/>
          <w:color w:val="333333"/>
          <w:szCs w:val="28"/>
        </w:rPr>
      </w:pPr>
      <w:r w:rsidRPr="00133239">
        <w:rPr>
          <w:rFonts w:eastAsia="Times New Roman" w:cs="Times New Roman"/>
          <w:b/>
          <w:bCs/>
          <w:color w:val="333333"/>
          <w:szCs w:val="28"/>
        </w:rPr>
        <w:t xml:space="preserve">HIỆU TRƯỞNG TRƯỜNG </w:t>
      </w:r>
      <w:r>
        <w:rPr>
          <w:rFonts w:eastAsia="Times New Roman" w:cs="Times New Roman"/>
          <w:b/>
          <w:bCs/>
          <w:color w:val="333333"/>
          <w:szCs w:val="28"/>
        </w:rPr>
        <w:t xml:space="preserve">THCS </w:t>
      </w:r>
      <w:r w:rsidR="00916079">
        <w:rPr>
          <w:rFonts w:eastAsia="Times New Roman" w:cs="Times New Roman"/>
          <w:b/>
          <w:bCs/>
          <w:color w:val="333333"/>
          <w:szCs w:val="28"/>
        </w:rPr>
        <w:t>PHÙNG CHÍ KIÊN</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Điều lệ trường trung học cơ sở, trường trung học phổ thông và trường phổ thông có nhiều cấp học được ban hành kèm theo thông tư 12/2011/TT-BGDĐT, ngày 28/3/2011 của Bộ GD&amp;ĐT;</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Luật quản lý tài sản công năm 2017;</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Nghị định 151/2017/NĐ- CP ngày 26/12/2017 của Chính phủ quy định chi tiết một số điều Luật Quản lý, sử dụng tài sản công;</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Xét đề nghị của Văn phòng,</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QUYẾT ĐỊNH</w:t>
      </w:r>
    </w:p>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b/>
          <w:bCs/>
          <w:color w:val="333333"/>
          <w:szCs w:val="28"/>
        </w:rPr>
        <w:t>Điều 1. </w:t>
      </w:r>
      <w:r w:rsidRPr="00133239">
        <w:rPr>
          <w:rFonts w:eastAsia="Times New Roman" w:cs="Times New Roman"/>
          <w:color w:val="333333"/>
          <w:szCs w:val="28"/>
        </w:rPr>
        <w:t xml:space="preserve">Ban hành kèm theo Quyết định này “Quy chế quản lý, sử dụng tài sản công trong trường </w:t>
      </w:r>
      <w:r>
        <w:rPr>
          <w:rFonts w:eastAsia="Times New Roman" w:cs="Times New Roman"/>
          <w:color w:val="333333"/>
          <w:szCs w:val="28"/>
        </w:rPr>
        <w:t xml:space="preserve">THCS </w:t>
      </w:r>
      <w:r w:rsidR="00916079">
        <w:rPr>
          <w:rFonts w:eastAsia="Times New Roman" w:cs="Times New Roman"/>
          <w:color w:val="333333"/>
          <w:szCs w:val="28"/>
        </w:rPr>
        <w:t>Phùng Chí Kiên</w:t>
      </w:r>
      <w:r w:rsidRPr="00133239">
        <w:rPr>
          <w:rFonts w:eastAsia="Times New Roman" w:cs="Times New Roman"/>
          <w:color w:val="333333"/>
          <w:szCs w:val="28"/>
        </w:rPr>
        <w:t>”.</w:t>
      </w:r>
    </w:p>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b/>
          <w:bCs/>
          <w:color w:val="333333"/>
          <w:szCs w:val="28"/>
        </w:rPr>
        <w:t>Điều 2</w:t>
      </w:r>
      <w:r w:rsidRPr="00133239">
        <w:rPr>
          <w:rFonts w:eastAsia="Times New Roman" w:cs="Times New Roman"/>
          <w:color w:val="333333"/>
          <w:szCs w:val="28"/>
        </w:rPr>
        <w:t>. Quyết định này có hiệu lực thi hành từ ngày ký. Các cán bộ, giáo viên, nhân viên và học sinh trong nhà trường chịu trách nhiệm thi hành Quyết định này.</w:t>
      </w:r>
    </w:p>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color w:val="333333"/>
          <w:szCs w:val="28"/>
        </w:rPr>
        <w:t> </w:t>
      </w:r>
    </w:p>
    <w:tbl>
      <w:tblPr>
        <w:tblW w:w="9072" w:type="dxa"/>
        <w:tblCellMar>
          <w:top w:w="84" w:type="dxa"/>
          <w:left w:w="84" w:type="dxa"/>
          <w:bottom w:w="84" w:type="dxa"/>
          <w:right w:w="84" w:type="dxa"/>
        </w:tblCellMar>
        <w:tblLook w:val="04A0" w:firstRow="1" w:lastRow="0" w:firstColumn="1" w:lastColumn="0" w:noHBand="0" w:noVBand="1"/>
      </w:tblPr>
      <w:tblGrid>
        <w:gridCol w:w="2993"/>
        <w:gridCol w:w="6079"/>
      </w:tblGrid>
      <w:tr w:rsidR="00133239" w:rsidRPr="00133239" w:rsidTr="00133239">
        <w:tc>
          <w:tcPr>
            <w:tcW w:w="2993" w:type="dxa"/>
            <w:shd w:val="clear" w:color="auto" w:fill="auto"/>
            <w:tcMar>
              <w:top w:w="0" w:type="dxa"/>
              <w:left w:w="0" w:type="dxa"/>
              <w:bottom w:w="0" w:type="dxa"/>
              <w:right w:w="0" w:type="dxa"/>
            </w:tcMar>
            <w:hideMark/>
          </w:tcPr>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b/>
                <w:bCs/>
                <w:i/>
                <w:iCs/>
                <w:sz w:val="20"/>
                <w:szCs w:val="20"/>
              </w:rPr>
              <w:t>Nơi nhận</w:t>
            </w:r>
            <w:r w:rsidRPr="00133239">
              <w:rPr>
                <w:rFonts w:eastAsia="Times New Roman" w:cs="Times New Roman"/>
                <w:i/>
                <w:iCs/>
                <w:sz w:val="20"/>
                <w:szCs w:val="20"/>
              </w:rPr>
              <w:t>:</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Phó Hiệu trưởng;</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Các Tổ trưởng CM, Văn phòng;</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Thư ký HĐGD;</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Đăng trên Website của trường;</w:t>
            </w:r>
          </w:p>
          <w:p w:rsidR="00133239" w:rsidRPr="00133239" w:rsidRDefault="00133239" w:rsidP="00133239">
            <w:pPr>
              <w:spacing w:after="0" w:afterAutospacing="0" w:line="240" w:lineRule="auto"/>
              <w:rPr>
                <w:rFonts w:eastAsia="Times New Roman" w:cs="Times New Roman"/>
                <w:szCs w:val="28"/>
              </w:rPr>
            </w:pPr>
            <w:r w:rsidRPr="00133239">
              <w:rPr>
                <w:rFonts w:eastAsia="Times New Roman" w:cs="Times New Roman"/>
                <w:sz w:val="20"/>
                <w:szCs w:val="20"/>
              </w:rPr>
              <w:t>- Lưu: VT.</w:t>
            </w:r>
          </w:p>
        </w:tc>
        <w:tc>
          <w:tcPr>
            <w:tcW w:w="6079" w:type="dxa"/>
            <w:shd w:val="clear" w:color="auto" w:fill="auto"/>
            <w:tcMar>
              <w:top w:w="0" w:type="dxa"/>
              <w:left w:w="0" w:type="dxa"/>
              <w:bottom w:w="0" w:type="dxa"/>
              <w:right w:w="0" w:type="dxa"/>
            </w:tcMar>
            <w:hideMark/>
          </w:tcPr>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b/>
                <w:bCs/>
                <w:szCs w:val="28"/>
              </w:rPr>
              <w:t>HIỆU TRƯỞNG</w:t>
            </w:r>
          </w:p>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szCs w:val="28"/>
              </w:rPr>
              <w:t> </w:t>
            </w:r>
          </w:p>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szCs w:val="28"/>
              </w:rPr>
              <w:t> </w:t>
            </w:r>
          </w:p>
          <w:p w:rsidR="00133239" w:rsidRPr="00133239" w:rsidRDefault="00916079" w:rsidP="00133239">
            <w:pPr>
              <w:spacing w:after="0" w:afterAutospacing="0" w:line="240" w:lineRule="auto"/>
              <w:jc w:val="center"/>
              <w:rPr>
                <w:rFonts w:eastAsia="Times New Roman" w:cs="Times New Roman"/>
                <w:szCs w:val="28"/>
              </w:rPr>
            </w:pPr>
            <w:r>
              <w:rPr>
                <w:rFonts w:eastAsia="Times New Roman" w:cs="Times New Roman"/>
                <w:szCs w:val="28"/>
              </w:rPr>
              <w:t>(Đã ký)</w:t>
            </w:r>
            <w:r w:rsidR="00133239" w:rsidRPr="00133239">
              <w:rPr>
                <w:rFonts w:eastAsia="Times New Roman" w:cs="Times New Roman"/>
                <w:szCs w:val="28"/>
              </w:rPr>
              <w:t> </w:t>
            </w:r>
          </w:p>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szCs w:val="28"/>
              </w:rPr>
              <w:t> </w:t>
            </w:r>
          </w:p>
          <w:p w:rsidR="00133239" w:rsidRPr="00133239" w:rsidRDefault="00916079" w:rsidP="00133239">
            <w:pPr>
              <w:spacing w:after="0" w:afterAutospacing="0" w:line="240" w:lineRule="auto"/>
              <w:jc w:val="center"/>
              <w:rPr>
                <w:rFonts w:eastAsia="Times New Roman" w:cs="Times New Roman"/>
                <w:szCs w:val="28"/>
              </w:rPr>
            </w:pPr>
            <w:r>
              <w:rPr>
                <w:rFonts w:eastAsia="Times New Roman" w:cs="Times New Roman"/>
                <w:szCs w:val="28"/>
              </w:rPr>
              <w:t>Nguyễn Văn Công</w:t>
            </w:r>
          </w:p>
        </w:tc>
      </w:tr>
    </w:tbl>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916079" w:rsidRDefault="00916079" w:rsidP="00133239">
      <w:pPr>
        <w:shd w:val="clear" w:color="auto" w:fill="FFFFFF"/>
        <w:spacing w:after="0" w:afterAutospacing="0" w:line="240" w:lineRule="auto"/>
        <w:jc w:val="center"/>
        <w:rPr>
          <w:rFonts w:eastAsia="Times New Roman" w:cs="Times New Roman"/>
          <w:color w:val="333333"/>
          <w:szCs w:val="28"/>
        </w:rPr>
      </w:pP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lastRenderedPageBreak/>
        <w:t>QUY CHẾ</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QUẢN LÝ, SỬ DỤNG TÀI SẢN CÔNG TRONG TRƯỜNG HỌC</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i/>
          <w:iCs/>
          <w:color w:val="333333"/>
          <w:szCs w:val="28"/>
        </w:rPr>
        <w:t>(Ban</w:t>
      </w:r>
      <w:r>
        <w:rPr>
          <w:rFonts w:eastAsia="Times New Roman" w:cs="Times New Roman"/>
          <w:i/>
          <w:iCs/>
          <w:color w:val="333333"/>
          <w:szCs w:val="28"/>
        </w:rPr>
        <w:t xml:space="preserve"> hành kèm theo Quyết định số </w:t>
      </w:r>
      <w:r w:rsidR="00877B5F">
        <w:rPr>
          <w:rFonts w:eastAsia="Times New Roman" w:cs="Times New Roman"/>
          <w:i/>
          <w:iCs/>
          <w:color w:val="333333"/>
          <w:szCs w:val="28"/>
        </w:rPr>
        <w:t>1</w:t>
      </w:r>
      <w:r w:rsidR="00916079">
        <w:rPr>
          <w:rFonts w:eastAsia="Times New Roman" w:cs="Times New Roman"/>
          <w:i/>
          <w:iCs/>
          <w:color w:val="333333"/>
          <w:szCs w:val="28"/>
        </w:rPr>
        <w:t>4</w:t>
      </w:r>
      <w:bookmarkStart w:id="0" w:name="_GoBack"/>
      <w:bookmarkEnd w:id="0"/>
      <w:r>
        <w:rPr>
          <w:rFonts w:eastAsia="Times New Roman" w:cs="Times New Roman"/>
          <w:i/>
          <w:iCs/>
          <w:color w:val="333333"/>
          <w:szCs w:val="28"/>
        </w:rPr>
        <w:t>/QĐ-THCS</w:t>
      </w:r>
      <w:r w:rsidR="00F90495">
        <w:rPr>
          <w:rFonts w:eastAsia="Times New Roman" w:cs="Times New Roman"/>
          <w:i/>
          <w:iCs/>
          <w:color w:val="333333"/>
          <w:szCs w:val="28"/>
        </w:rPr>
        <w:t>PCK</w:t>
      </w:r>
      <w:r>
        <w:rPr>
          <w:rFonts w:eastAsia="Times New Roman" w:cs="Times New Roman"/>
          <w:i/>
          <w:iCs/>
          <w:color w:val="333333"/>
          <w:szCs w:val="28"/>
        </w:rPr>
        <w:t xml:space="preserve"> ngày </w:t>
      </w:r>
      <w:r w:rsidR="00877B5F">
        <w:rPr>
          <w:rFonts w:eastAsia="Times New Roman" w:cs="Times New Roman"/>
          <w:i/>
          <w:iCs/>
          <w:color w:val="333333"/>
          <w:szCs w:val="28"/>
        </w:rPr>
        <w:t>16</w:t>
      </w:r>
      <w:r>
        <w:rPr>
          <w:rFonts w:eastAsia="Times New Roman" w:cs="Times New Roman"/>
          <w:i/>
          <w:iCs/>
          <w:color w:val="333333"/>
          <w:szCs w:val="28"/>
        </w:rPr>
        <w:t xml:space="preserve"> /01/20</w:t>
      </w:r>
      <w:r w:rsidR="00877B5F">
        <w:rPr>
          <w:rFonts w:eastAsia="Times New Roman" w:cs="Times New Roman"/>
          <w:i/>
          <w:iCs/>
          <w:color w:val="333333"/>
          <w:szCs w:val="28"/>
        </w:rPr>
        <w:t>20</w:t>
      </w:r>
      <w:r w:rsidRPr="00133239">
        <w:rPr>
          <w:rFonts w:eastAsia="Times New Roman" w:cs="Times New Roman"/>
          <w:i/>
          <w:iCs/>
          <w:color w:val="333333"/>
          <w:szCs w:val="28"/>
        </w:rPr>
        <w:t>)</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CĂN CỨ ĐỂ XÂY DỰNG QUY CHẾ</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color w:val="333333"/>
          <w:szCs w:val="28"/>
        </w:rPr>
        <w:t>Căn cứ Luật quản lý tài sản công năm 2017;</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color w:val="333333"/>
          <w:szCs w:val="28"/>
        </w:rPr>
        <w:t xml:space="preserve"> Nghị định 151/2017/NĐ- CP ngày 26/12/2017 của Chính phủ quy định chi tiết một số điều Luật Quản lý, sử dụng tài sản công;</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color w:val="333333"/>
          <w:szCs w:val="28"/>
        </w:rPr>
        <w:t xml:space="preserve">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iCs/>
          <w:color w:val="333333"/>
          <w:szCs w:val="28"/>
        </w:rPr>
        <w:t>Căn cứ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iCs/>
          <w:color w:val="333333"/>
          <w:szCs w:val="28"/>
        </w:rPr>
        <w:t>Căn cứ Văn bản Sở Giáo dục và Đào tạo, UBND Huyện Diễn Châu, Phòng GD&amp;ĐT Diễn Châu về việc hướng dẫn thực hiện quy trình thanh lý tài sản công.</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Chương I</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 ĐỊNH CHUNG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 Phạm vi điều chỉnh và đối tượng áp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Quy chế này quy định trách nhiệm và thẩm quyền quyết định của các bộ phận, cá nhân trong quản lý sử dụng, mua sắm, tiếp nhận, sửa chữa, điều chuyển, thu hồi và thanh lý tài sản công trong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2. Công chức, viên chức, nhân viên, người lao động, học sinh thuộc trường </w:t>
      </w:r>
      <w:r w:rsidR="00916079">
        <w:rPr>
          <w:rFonts w:eastAsia="Times New Roman" w:cs="Times New Roman"/>
          <w:color w:val="333333"/>
          <w:szCs w:val="28"/>
        </w:rPr>
        <w:t>THCS Phùng Chí Kiên</w:t>
      </w:r>
      <w:r w:rsidRPr="00133239">
        <w:rPr>
          <w:rFonts w:eastAsia="Times New Roman" w:cs="Times New Roman"/>
          <w:color w:val="333333"/>
          <w:szCs w:val="28"/>
        </w:rPr>
        <w:t xml:space="preserve"> được giao quản lý, sử dụng tài sản phải có trách nhiệm thực hiện đúng quy định của Quy chế này và các quy định hiện hành của pháp luật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2. Tài sản trong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w:t>
      </w:r>
      <w:r w:rsidRPr="00133239">
        <w:rPr>
          <w:rFonts w:eastAsia="Times New Roman" w:cs="Times New Roman"/>
          <w:i/>
          <w:iCs/>
          <w:color w:val="333333"/>
          <w:szCs w:val="28"/>
        </w:rPr>
        <w:t>Theo Điều 4. Phân loại tài sản cố định tại Thông tư số 45/2018/TT-BTC ngày 07/5/2018 của Bộ tài chính)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1.1. Tài sản cố định hữu hình: Là những tài sản có hình thái vật chất, thỏa mãn đồng thời 02 tiêu chuẩn (Có thời hạn sử dụng từ 01 năm trở lên; có nguyên giá từ 10.000.000 đồng trở lên).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Tài sản cố định hữu hình gồm: Nhà làm việc; hội trường; phòng học; nhà công vụ; nhà làm việc; nhà tập luyện và thi đấu thể thao; nhà xe, công trình xây dựng khác. Vật kiến trúc (tường rào; sân thể thao; sân chơi, bể </w:t>
      </w:r>
      <w:r w:rsidR="00916079">
        <w:rPr>
          <w:rFonts w:eastAsia="Times New Roman" w:cs="Times New Roman"/>
          <w:color w:val="333333"/>
          <w:szCs w:val="28"/>
        </w:rPr>
        <w:t>bơi</w:t>
      </w:r>
      <w:r w:rsidRPr="00133239">
        <w:rPr>
          <w:rFonts w:eastAsia="Times New Roman" w:cs="Times New Roman"/>
          <w:color w:val="333333"/>
          <w:szCs w:val="28"/>
        </w:rPr>
        <w:t>). Máy móc, thiết bị. Cây lâu năm. Tài sản cố định hữu hình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1.2. Tài sản cố định vô hình: Là tài sản không có hình thái vật chất, thỏa mãn đồng thời 02 tiêu chuẩn (Có thời hạn sử dụng từ 01 năm trở lên; có nguyên giá từ 10.000.000 đồng trở lên).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Quyền sử dụng đất, phần mềm ứng dụng, tài sản cố định vô hình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1.3. Công cụ, dụng cụ: bao gồm các tài sản phục vụ các hoạt động giáo dục của nhà trường: bàn ghế học sinh, dụng cụ thể dục thể thao, tài sản khác có giá trị nguyên giá dưới 10.000.000 đồng.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2. Phân loại theo nguồn gốc hình thành tài sản: Tài sản hình thành do mua sắm; do đầu tư xây dựng; được giao; được cho tặng; tài sản cố định khi kiểm kê phát hiện </w:t>
      </w:r>
      <w:r w:rsidRPr="00133239">
        <w:rPr>
          <w:rFonts w:eastAsia="Times New Roman" w:cs="Times New Roman"/>
          <w:color w:val="333333"/>
          <w:szCs w:val="28"/>
        </w:rPr>
        <w:lastRenderedPageBreak/>
        <w:t>thừa chưa được theo dõi trên sổ kế toán; tài sản cố định được hình thành từ nguồn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3. Nguyên tắc quản lý, sử dụng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Tài sản phải được quản lý, khai thác, duy tu, bảo dưỡng, sửa chữa, được thống kê, kế toán đầy đủ về hiện vật và giá trị.</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Việc sử dụng tài sản phải bảo đảm tiết kiệm, hiệu quả, đúng mục đích, công năng, đối tượng, tiêu chuẩn, định mức, chế độ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Việc quản lý, sử dụng tài sản công phải được thực hiện công khai, minh bạch, bảo đảm thực hành tiết kiệm, chống lãng phí, phòng, chống tham nhũng.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Việc quản lý, sử dụng tài sản phải được giám sát, thanh tra, kiểm tra; mọi hành vi vi phạm pháp luật về quản lý, sử dụng tài sản công phải được xử lý kịp thời, nghiêm minh theo quy định của pháp luật. </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Chương II</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 ĐỊNH QUẢN LÝ, SỬ DỤNG TÀI SẢN TRONG TRƯỜNG HỌC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4. Đối tượng được giao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Hiệu trưởng, Phó hiệu trưởng, giáo viên, nhân viên;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Các tổ chức, các đoàn thể trong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Các bộ phận chuyên quản: Kế toán, văn thư, y tế, thiết bị, thư viện, bảo vệ;</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Học sinh toàn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5: Quy trình tiếp nhận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Đối với tài sản được cấp.</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Hiệu trưởng ban hành quyết định thành lập tổ tiếp nhận tài sản. Tổ tiếp nhận có trách nhiệm kiểm tra các loại giấy tờ của bên giao tài sản, hiện trạng của tài sản theo đúng công năng sử dụng. Chỉ tiếp nhận tài sản khi có đủ giấy tờ, đúng chủng loại, sử dụng tốt. Lập biên bản bàn giao nhận tài sản. Báo cáo Hiệu trưởng về tài sản mới nhận, đề xuất phương án bố trí quản lý, sử dụng. Bàn giao toàn bộ hồ sơ cho kế toán, phối hợp với kế toán nhập sổ tài sản theo phần mềm quản lý và dán mã các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Hiệu trưởng ra quyết định bàn giao tài sản cho bộ phận quản lý, sử dụng (có danh mục kèm theo được in từ phần mềm quản lý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Đối với tài sản do các tổ chức và cá nhân tài trợ, cho, tặng và tài sản tự mua không cần phải thành lập tổ tiếp nhận tài sản. Tổ văn phòng thực hiện các quy trình tiếp nhận tài sản như khoản 1 điều này.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6. Quyền và nghĩa vụ của đối tượng được giao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Đối tượng được giao quản lý, sử dụng tài sản công có các quyền sau đây: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Sử dụng tài sản công phục vụ hoạt động theo chức năng, nhiệm vụ được giao;</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Thực hiện các biện pháp bảo vệ, khai thác và sử dụng hiệu quả tài sản công được giao theo chế độ quy định.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Đối tượng được giao quản lý, sử dụng tài sản công có các nghĩa vụ sau đây: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Bảo vệ, sử dụng tài sản công đúng mục đích, tiêu chuẩn, định mức, chế độ; bảo đảm hiệu quả, tiết kiệm;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bookmarkStart w:id="1" w:name="diem_b_2_22"/>
      <w:bookmarkEnd w:id="1"/>
      <w:r w:rsidRPr="00133239">
        <w:rPr>
          <w:rFonts w:eastAsia="Times New Roman" w:cs="Times New Roman"/>
          <w:color w:val="333333"/>
          <w:szCs w:val="28"/>
        </w:rPr>
        <w:t>b) Lập, quản lý hồ sơ tài sản công, kế toán, kiểm kê, đánh giá lại tài sản công theo quy định của pháp luật và pháp luật về kế toán;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Báo cáo và công khai tài sản công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Thực hiện nghĩa vụ tài chính trong sử dụng tài sản công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đ) Giao lại tài sản khi có quyết định thu hồi của cơ quan, người có thẩm quyền;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lastRenderedPageBreak/>
        <w:t>e) Chịu sự thanh tra, kiểm tra, giám sát của cơ quan nhà nước có thẩm quyền; giám sát của cộng đồng, công chức, viên chức và Ban Thanh tra nhân dân trong quản lý, sử dụng tài sản công thuộc phạm vi quản lý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7. Nhiệm vụ của đối tượng được giao quản lý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Hiệu trưởng, Phó hiệu trưởng được giao phụ trách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Tổ chức thực hiện quản lý, sử dụng tài sản công để thực hiện chức năng, nhiệm vụ được Nhà nước giao. Ban hành quyết định bàn giao tài sản cho các bộ phận quản lý trực tiếp.</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Tổ chức kiểm tra việc quản lý, sử dụng tài sản của các bộ phận 1 lần/học kỳ. Thường xuyên giám sát việc quản lý, sử dụng tài sản của các bộ phận, tổ chức, cá nhân trong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Xử lý theo thẩm quyền hoặt trình cơ quan có thẩm quyền xử lý các hành vi vi phạm pháp luật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Kế toán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Lập hồ sơ liên quan đến việc hình thành, biến động tài sản trên phần mềm quản lý tài sản. Lưu trữ hồ sơ tài sản của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Phối hợp với các đồng chí trong tổ văn phòng, thiết bị thực hiện một số công việc sau:</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Vào sổ tài sản khi có tài sản mới nhận về;</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Kiểm kê tài sản vào cuối kỳ kế toán năm, kiểm kê theo quyết định kiểm kê của các cấp có thẩm quyền;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Đánh giá lại tài sản; Xác định tài sản thừa, thiếu và nguyên nhân để xử lý theo quy định của pháp luật; Tính hao mòn của tài sản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Thực hiện báo cáo tình hình quản lý tài sản theo văn bản hiện hành; Lập hồ sơ thanh lý tài sản kịp thời theo Quy chế này; Xây dựng kế hoạch bảo trì, bảo dưỡng;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Thực hiện các nhiệm vụ khác do Hiệu trưởng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Nhân viên thiết bị (theo </w:t>
      </w:r>
      <w:r w:rsidRPr="00133239">
        <w:rPr>
          <w:rFonts w:eastAsia="Times New Roman" w:cs="Times New Roman"/>
          <w:i/>
          <w:iCs/>
          <w:color w:val="333333"/>
          <w:szCs w:val="28"/>
        </w:rPr>
        <w:t>Thông tư 08/2019/TT – BGDĐT ngày 02/5/2019 của Bộ trưởng bộ Giáo dục và Đào tạo)</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Tổ chức quản lý các trang thiết bị của các phòng thực hành Vật lý, Hóa học, Sinh học, Tin học, ngoại ngữ, dụng cụ thể dục thể thao, dụng cụ học môn giáo dục quốc phòng, tăng âm loa đài, máy chiếu, máy tính, nhà đa năng, kho...Bảo quản, sử dụng thiết bị; lưu giữ, sử dụng hồ sơ thiết bị; sửa chữa những thiết bị đơn giản;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Lập kế hoạch sử dụng, mua sắm, sửa chữa thiết bị của nhà trường; lập hồ sơ thanh lý các tài sản được giao quản lý; tiêu hủy thiết bị, hóa chất hỏng, hết hạn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Chuẩn bị các thiết bị, hóa chất và vật liệu cần thiết theo yêu cầu của từng môn học, bài học có sử dụng thiết bị; hướng dẫn sử dụng thiết bị cho giáo viên và học sinh trong các bài thực hành, thí nghiệm; phối hợp với giáo viên hướng dẫn học sinh thực hành, thí nghiệm; thực hiện công tác đảm bảo an toàn, phòng chống cháy nổ trong quá trình thực hành, thí nghiệm;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Khai thác phần mềm ứng dụng quản lý thiết bị;</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Lập báo cáo định kỳ, thường xuyên về công tác thiết bị, thí nghiệm;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e) Phối hợp với kế toán nhập thiết bị mới nhận về vào sổ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g) Dán mã các tài sản được quản lý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h) Thực hiện các nhiệm vụ khác do hiệu trưởng (phó hiệu trưởng phụ trách)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4. </w:t>
      </w:r>
      <w:r w:rsidR="00916079">
        <w:rPr>
          <w:rFonts w:eastAsia="Times New Roman" w:cs="Times New Roman"/>
          <w:color w:val="333333"/>
          <w:szCs w:val="28"/>
        </w:rPr>
        <w:t>Các đồng chí làm công tác văn phòng: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lastRenderedPageBreak/>
        <w:t xml:space="preserve">a) Tổ chức quản </w:t>
      </w:r>
      <w:r w:rsidR="00916079">
        <w:rPr>
          <w:rFonts w:eastAsia="Times New Roman" w:cs="Times New Roman"/>
          <w:color w:val="333333"/>
          <w:szCs w:val="28"/>
          <w:lang w:val="vi-VN"/>
        </w:rPr>
        <w:t xml:space="preserve">lý các tài sản thuộc </w:t>
      </w:r>
      <w:r w:rsidR="00916079">
        <w:rPr>
          <w:rFonts w:eastAsia="Times New Roman" w:cs="Times New Roman"/>
          <w:color w:val="333333"/>
          <w:szCs w:val="28"/>
        </w:rPr>
        <w:t>dãy phòng học</w:t>
      </w:r>
      <w:r w:rsidRPr="00133239">
        <w:rPr>
          <w:rFonts w:eastAsia="Times New Roman" w:cs="Times New Roman"/>
          <w:color w:val="333333"/>
          <w:szCs w:val="28"/>
          <w:lang w:val="vi-VN"/>
        </w:rPr>
        <w:t xml:space="preserve"> nhà xe, tường rào, các phần mềm quản lý...</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Sử dụng hiệu quả tài sản được giao. Định kỳ tổ chức kiểm tra (1 lần/năm), kiểm kê (1 lần/học kỳ) tình hình sử dụng của các bộ phận, phòng ban, lớp học được giao quản lý;</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Lập kế hoạch sử dụng, mua sắm, sửa chữa, danh mục các tài sản thanh lý trình Phó hiệu trưởng phụ trách phê duyệt;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d) Phối hợp với kế toán nhập tài sản mới nhận về vào sổ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Dán mã các tài sản được quản lý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e) Lưu trữ hồ sơ tài sản được phân công phụ trách. Tập hợp toàn bộ hồ sơ tài sản theo năm đóng quyển lưu văn thư;</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g) Thực hiện các nhiệm vụ khác do hiệu trưởng (phó hiệu trưởng phụ trách)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5. Nhân viên bảo vệ</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Tuần tra bao quát toàn bộ khu vực trong phạm vi quản lý của trường, kiểm tra người mang tài sản của trường ra khỏi cơ quan (khi có nghi ngờ);</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Kiểm tra các phòng học, nhà làm việc, phòng chức năng ngoài giờ hành chính, để tránh tổn thất tài sản của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Thực hiện các nhiệm vụ khác do hiệu trưởng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6. Các tổ chức, các đoàn thể, học sinh trong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Sử dụng các tài sản theo đúng công năng, đúng mục đích, tiết kiệm, hiệu quả. Bảo quản, giữ gìn các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Định kỳ phối hợp với tổ văn phòng bàn giao, kiểm kê tài sản. Khi tài sản bị hỏng phải báo cáo kịp thời để khắc phục.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b/>
          <w:bCs/>
          <w:color w:val="333333"/>
          <w:szCs w:val="28"/>
          <w:lang w:val="vi-VN"/>
        </w:rPr>
        <w:t>Điều 8. Quy định việc sử dụng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1. Toàn bộ tài sản của nhà trường phải được sử dụng đúng công năng, đúng mục đích theo quyết định của Hiệu trưởng.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2. Tài sản như: phòng học, phòng hội đồng, nhà đa năng, thư viện, hành lang, cầu thang, các khu vệ sinh chung, nhà để xe, sân vườn, bồn hoa cây cảnh, các hệ thống cấp điện, cấp nước, thông tin liên lạc...Các tổ chức và cá nhân trong trường có quyền bình đẳng trong việc sử dụng chung và có nghĩa vụ chấp hành các quy định sau:</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Các bộ phận muốn sử dụng phòng hội đồng phải đăng ký với tổ văn phòng (ghi rõ thời gian thực hiện, yêu cầu về công tác phục vụ). Có trách nhiệm bảo quản tài sản trong quá trình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Các bộ phận muốn sử dụng nhà đa năng phải đăng ký với bộ phận thiết bị (ghi rõ thời gian thực hiện, yêu cầu về công tác phục vụ). Có trách nhiệm bảo quản tài sản trong quá trình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Đối với phòng học, phòng làm việc, phòng thí nghiệm, phòng học bộ môn phải vệ sinh sạch sẽ, không được di chuyển bất kỳ tài sản nào khi chưa được phép của tổ văn phòng hoặc bộ phận thiết bị. Không được viết vẽ lên tường, mang các chất cháy nổ vào phòng.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d) Đối với phòng thí nghiệm, phòng học bộ môn: Các giáo viên phải xây dựng kế hoạch sử dụng từ đầu năm học có xác nhận của tổ trưởng, phó hiệu trưởng phụ trách. Khi có nhu cầu sử dụng phòng thí nghiệm, phòng học bộ môn phải đăng ký với bộ phận thiết bị trước 2 ngày theo mẫu phiếu quy định.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Đối với khu vệ sinh chung phải giữ gìn sạch sẽ, khô ráo và thoáng khí. Không đổ rác sinh hoạt, bã chè và các loại rác khác vào các chậu rửa, bồn vệ sinh.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lastRenderedPageBreak/>
        <w:t>e) Nhà để xe của trường được dùng để ô tô, xe máy, xe đạp cho học sinh, cán bộ, giáo viên, nhân viên trong trường và khách đến liên hệ công tác theo đúng quy định. Cấm hút thuốc và để xe bị rò rỉ xăng dầu trong khu vực nhà xe.</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g) Đối với khu vực hành lang, cầu thang không được để các đồ dùng và trang thiết bị làm việc riêng của các tổ chức, cá nhân.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h) Sân trường chỉ được sử dụng để phục vụ các hoạt động tập thể, sân chơi cho học sinh không sử dụng vào các mục đích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i) Khu vực bồn hoa, cây cảnh không tự ý trồng, đặt chậu hoa, thay đổi loại cây, vị trí cây cảnh trong trường khi chưa có sự đồng ý của bộ phận phụ trách. Không ngắt hoa và vứt rác vào các chậu cây.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k) Không cho phép bất cứ tổ chức hoặc tập thể nào ngoài trường sử dụng nguồn điện. Cấm tự ý đấu nối hệ thống cấp điện, cấp nước, điện thoại, mạng internet ra ngoài khuôn viên trường cho người ngoài sử dụng; không để đồ đạc gây cản trở việc vận hành, sửa chữa các tủ điện, hộc chữa cháy tại các tầng và trong phòng làm việc.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4. Tài sản được giao cho các bộ phận, cá nhân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Các phòng làm việc phải được bố trí hợp lý, gọn gàng, thuận lợi cho các thành viên trong tổ chức làm việc và đảm bảo các điều kiện về chiếu sáng, điều tiết không khí, đường truyền tín hiệu điện thoại, internet theo đúng các quy định của nhà nước.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Không đem các chất độc hại, chất dễ gây cháy nổ, ô nhiễm môi trường vào phòng làm việc, phòng học.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Phương tiện thông tin liên lạc (kể cả đường truyền internet) tại trường chỉ được sử dụng vào mục đích công vụ.</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d) Hết giờ làm việc phải tắt các thiết bị điện và khóa cửa phòng làm việc. Khi nghỉ làm việc phải bàn giao tài sản cho bộ phận quản lý.</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Hàng ngày sau mỗi buổi học bảo vệ khóa hết các phòng học, cổng chính của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b/>
          <w:bCs/>
          <w:color w:val="333333"/>
          <w:szCs w:val="28"/>
          <w:lang w:val="vi-VN"/>
        </w:rPr>
        <w:t>Điều 9: Bảo dưỡng, sửa chữa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Bảo dưỡng: Nhà trường thực hiện việc sửa chữa và định kỳ bảo dưỡng toàn bộ tài sản theo chế độ, tiêu chuẩn kỹ thuật quy định. Khi tài sản bị hỏng, bộ phận được giao sử dụng và quản lý sẽ thực hiện quy trình sau:</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Bộ phận trực tiếp sử dụng lập phiếu đề nghị sửa chữa tại văn phòng nhà trường </w:t>
      </w:r>
      <w:r w:rsidRPr="00133239">
        <w:rPr>
          <w:rFonts w:eastAsia="Times New Roman" w:cs="Times New Roman"/>
          <w:i/>
          <w:iCs/>
          <w:color w:val="333333"/>
          <w:szCs w:val="28"/>
        </w:rPr>
        <w:t>(Mẫu 1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Tổ trưởng tổ văn phòng chỉ đạo bộ phận quản lý tài sản kiểm tra thực tế, đề xuất phương án sửa chữa, ký xác nhận và chuyển Hiệu trưởng (Phó hiệu trưởng phụ trách phê duyệt) </w:t>
      </w:r>
      <w:r w:rsidRPr="00133239">
        <w:rPr>
          <w:rFonts w:eastAsia="Times New Roman" w:cs="Times New Roman"/>
          <w:i/>
          <w:iCs/>
          <w:color w:val="333333"/>
          <w:szCs w:val="28"/>
        </w:rPr>
        <w:t>(Theo mẫu tại khoản 1 điều này);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Sau khi sửa chữa xong, thực hiện bàn giao tài sản cho bộ phận quản lý và sử dụng có biên bản kèm theo </w:t>
      </w:r>
      <w:r w:rsidRPr="00133239">
        <w:rPr>
          <w:rFonts w:eastAsia="Times New Roman" w:cs="Times New Roman"/>
          <w:i/>
          <w:iCs/>
          <w:color w:val="333333"/>
          <w:szCs w:val="28"/>
        </w:rPr>
        <w:t>(Mẫu 2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Trường hợp sau đây nhà trường không sửa chữa, các bộ phận trực tiếp sử dụng phải tự sửa chữa. Sau khi nhà trường thành lập ban kiểm tra tài sản xác nhận: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Cố ý làm hỏng tài sản hoặc không có ý thức giữ gìn, bảo vệ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Cố ý làm mất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Sử dụng tài sản không đúng nơi quy định (tự ý di chuyển tài sản khi chưa được phép của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bookmarkStart w:id="2" w:name="25"/>
      <w:bookmarkEnd w:id="2"/>
      <w:r w:rsidRPr="00133239">
        <w:rPr>
          <w:rFonts w:eastAsia="Times New Roman" w:cs="Times New Roman"/>
          <w:b/>
          <w:bCs/>
          <w:color w:val="333333"/>
          <w:szCs w:val="28"/>
          <w:lang w:val="vi-VN"/>
        </w:rPr>
        <w:t>Điều 10. Thu hồi, điều chuyển, thanh lý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1. Tài sản Nhà nước (nhà trường) được giao cho các Tổ, cá nhân trong đơn vị quản lý, sử dụng sẽ bị thu hồi trong các trường hợp sau đây: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lastRenderedPageBreak/>
        <w:t>a) Các bộ phận (hoặc cá nhân) được giao trực tiếp quản lý, sử dụng tài sản không còn nhu cầu sử dụng hoặc giảm nhu cầu sử dụng do thay đổi chức năng, nhiệm vụ và các nguyên nhân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Tài sản thừa so với tiêu chuẩn, định mức được phép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Tài sản sử dụng sai mục đích, trái quy định của Nhà nước.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2. Việc điều chuyển tài sản từ bộ phận này sang bộ phận khác trong nhà trường do Hiệu trưởng quyết định. Tài sản điều chuyển phải được kiểm kê, xác định giá trị còn lại, ghi tăng, giảm tài sản và giá trị tài sản, đăng ký lại tài sản với kế toán đơn vị. Hồ sơ đề nghị điều chuyển tài sản của các đối tượng sử dụng tài sản được gửi đến Phó hiệu trưởng phụ trách bao gồm: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Biên bản đề nghị điều chuyền tài sản của các đối tượng trực tiếp quản lý, sử dụng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Bảng tổng hợp danh mục tài sản đề nghị điều chuyển, biên bản đánh giá lại giá trị những tài sản điều chuyển và các hồ sơ của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Xác nhận của đối tượng đề nghị tiếp nhận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3. Tài sản hết hạn sử dụng theo chế độ mà phải thanh lý; tài sản chưa hết hạn sử dụng nhưng bị hư hỏng không còn sử dụng được hoặc việc sửa chữa không hiệu quả (dự toán chi phí sửa chữa lớn hơn 30% nguyên giá tài sản), lập 01 bộ hồ sơ đề nghị thanh lý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Quy trình thanh lý theo Nghị định 151/2017/NĐ- CP ngày 26/12/2017 của Chính phủ quy định chi tiết một số điều Luật Quản lý, sử dụng tài sản công; Luật quản lý, sử dụng tài sản công ngày 21/6/2017; Quyết định 31/2018/QĐ- UBND ngày 10/8/2018 của UBND tỉnh Điện Biên ban hành quy định phân cấp quản lý, sử dụng tài sản nhà nước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r w:rsidRPr="00133239">
        <w:rPr>
          <w:rFonts w:eastAsia="Times New Roman" w:cs="Times New Roman"/>
          <w:i/>
          <w:iCs/>
          <w:color w:val="333333"/>
          <w:szCs w:val="28"/>
        </w:rPr>
        <w:t>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 Văn bản 1813/SGDĐT - KHTC ngày 28/8/20179 của Giám đốc Sở Giáo dục và Đào tạo về việc hướng dẫn thực hiện quy trình thanh lý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i/>
          <w:iCs/>
          <w:color w:val="333333"/>
          <w:szCs w:val="28"/>
        </w:rPr>
        <w:t>3.1. Đối với công cụ, dụng cụ: Hồ sơ bao gồm: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i/>
          <w:iCs/>
          <w:color w:val="333333"/>
          <w:szCs w:val="28"/>
        </w:rPr>
        <w:t>a) Biên bản xác nhận hiện trạng công cụ dụng cụ (Mẫu 3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Quyết định thành lập ban thanh lý công cụ, dụng cụ;</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Biên bản định giá thu hồi công cụ, dụng cụ </w:t>
      </w:r>
      <w:r w:rsidRPr="00133239">
        <w:rPr>
          <w:rFonts w:eastAsia="Times New Roman" w:cs="Times New Roman"/>
          <w:i/>
          <w:iCs/>
          <w:color w:val="333333"/>
          <w:szCs w:val="28"/>
        </w:rPr>
        <w:t>(Mẫu 4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Biên bản thanh lý công cụ, dụng cụ </w:t>
      </w:r>
      <w:r w:rsidRPr="00133239">
        <w:rPr>
          <w:rFonts w:eastAsia="Times New Roman" w:cs="Times New Roman"/>
          <w:i/>
          <w:iCs/>
          <w:color w:val="333333"/>
          <w:szCs w:val="28"/>
        </w:rPr>
        <w:t>(Mẫu 5, 6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xml:space="preserve">3.2. Đối với tài sản không phải công cụ, dụng cụ: Lập hồ sơ chuyển lên </w:t>
      </w:r>
      <w:r w:rsidR="00FB7ED5">
        <w:rPr>
          <w:rFonts w:eastAsia="Times New Roman" w:cs="Times New Roman"/>
          <w:color w:val="333333"/>
          <w:szCs w:val="28"/>
        </w:rPr>
        <w:t>Phòng</w:t>
      </w:r>
      <w:r w:rsidRPr="00133239">
        <w:rPr>
          <w:rFonts w:eastAsia="Times New Roman" w:cs="Times New Roman"/>
          <w:color w:val="333333"/>
          <w:szCs w:val="28"/>
          <w:lang w:val="vi-VN"/>
        </w:rPr>
        <w:t xml:space="preserve"> Giáo dục và Đào tạo bao gồm: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Văn bản đề nghị thanh lý tài sản (trong đó nêu rõ trách nhiệm tổ chức thanh lý tài sản; dự toán chi phí sửa chữa tài sản trong trường hợp xác định việc sửa chữa tài sản không hiệu quả);</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Danh mục tài sản đề nghị thanh lý (chủng loại; số lượng; tình trạng; nguyên giá, nguyên giá còn lại theo sổ kế toán; lý do thanh lý) </w:t>
      </w:r>
      <w:r w:rsidRPr="00133239">
        <w:rPr>
          <w:rFonts w:eastAsia="Times New Roman" w:cs="Times New Roman"/>
          <w:i/>
          <w:iCs/>
          <w:color w:val="333333"/>
          <w:szCs w:val="28"/>
        </w:rPr>
        <w:t>(Mẫu 7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br/>
        <w:t> </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lang w:val="vi-VN"/>
        </w:rPr>
      </w:pPr>
      <w:r w:rsidRPr="00133239">
        <w:rPr>
          <w:rFonts w:eastAsia="Times New Roman" w:cs="Times New Roman"/>
          <w:b/>
          <w:bCs/>
          <w:color w:val="333333"/>
          <w:szCs w:val="28"/>
          <w:lang w:val="vi-VN"/>
        </w:rPr>
        <w:lastRenderedPageBreak/>
        <w:t>Chương III</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lang w:val="vi-VN"/>
        </w:rPr>
      </w:pPr>
      <w:r w:rsidRPr="00133239">
        <w:rPr>
          <w:rFonts w:eastAsia="Times New Roman" w:cs="Times New Roman"/>
          <w:b/>
          <w:bCs/>
          <w:color w:val="333333"/>
          <w:szCs w:val="28"/>
          <w:lang w:val="vi-VN"/>
        </w:rPr>
        <w:t>XỬ LÝ VI PHẠM VỀ QUẢN LÝ, SỬ DỤNG TÀI SẢN CÔNG</w:t>
      </w:r>
      <w:r w:rsidRPr="00133239">
        <w:rPr>
          <w:rFonts w:eastAsia="Times New Roman" w:cs="Times New Roman"/>
          <w:color w:val="333333"/>
          <w:szCs w:val="28"/>
          <w:lang w:val="vi-VN"/>
        </w:rPr>
        <w:t> </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b/>
          <w:bCs/>
          <w:color w:val="333333"/>
          <w:szCs w:val="28"/>
          <w:lang w:val="vi-VN"/>
        </w:rPr>
        <w:t>Điều 11. Xử lý vi phạm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1. Hình thức xử lý vi phạm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Nhắc nhở;</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Thông báo trong toàn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Đề nghị hạ bậc khi xét danh hiệu thi đua;</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Đề nghị xử lý kỷ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Hình thức nhắc nhở được áp dụng đối với các tổ chức và cá nhân có hành vi vi phạm lần đầu các quy định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Trường hợp các bộ phận và cá nhân đã được nhắc nhở nhưng vẫn tiếp tục có hành vi vi phạm quy định về quản lý, sử dụng tài sản công thì bị xử lý bằng hình thức thông báo công khai trong toàn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Các bộ phận, cá nhân tái diễn cùng một hành vi vi phạm từ 03 lần trở lên trong một năm hoặc tùy theo mức độ vi phạm, thì bị đề nghị hạ một cấp khi xét danh hiệu thi đua trong năm.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5. Người vi phạm các quy định của Quy chế này để xảy ra thiệt hại tài sản công, ngoài việc bị xử lý theo các hình thức tại khoản 1 điều này còn phải bị xử lý trách nhiệm vật chất theo quy định hiện hành.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12. Trình tự và thủ tục xử lý vi phạm quy định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Thông báo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Các bộ phận và cá nhân khi phát hiện hành vi vi phạm các quy định của Quy chế này hoặc phát hiện cán bộ, giáo viên, nhân viên, học sinh làm thất thoát, mất, hư hỏng tài sản công thì thông báo bằng mọi hình thức (thông báo trực tiếp, qua điện thoại, gửi văn bản...) đến Hiệu trưởng (phó hiệu trưởng phụ trách).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Lập biên bản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Khi nhận được thông báo về vi phạm quy định về quản lý, sử dụng tài sản công, Hiệu trưởng chỉ đạo tiến hành: Kiểm tra xác minh, nhắc nhở, sơ bộ đánh giá thiệt hại, lập biên bản vi phạm quy định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Hiệu trưởng yêu cầu cán bộ, giáo viên, nhân viên hoặc học sinh vi phạm quy định về quản lý, sử dụng tài sản công hoặc gây ra thiệt hại tài sản công viết bản tường trình về vụ việc, tự kiểm điểm bản thân.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Quyết định xử lý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Hiệu trưởng xem xét, quyết định xử lý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Nhắc nhở hoặc thông báo công khai trong toàn trường đối với các trường hợp bị xử lý theo các hình thức nhắc nhở;</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Thực hiện quyết định xử lý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Trình tự xử lý kỷ luật, xem xét hạ bậc danh hiệu thi đua đối với các bộ phận và cá nhân vi phạm các quy định về quản lý, sử dụng tài sản công thực hiện theo quy định hướng dẫn thi đua khen thưởng của nhà trường. Xử lý trách nhiệm vật chất theo các quy định của pháp luật.</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Chương IV</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TỔ CHỨC THỰC HIỆN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13. Trách nhiệm thi hành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lastRenderedPageBreak/>
        <w:t>Công chức, viên chức, nhân viên, người lao động, học sinh có trách nhiệm quán thực hiện nghiêm túc Quy chế này. Ban giám hiệu, trưởng các đoàn thể, tổ trưởng chịu trách nhiệm quán triệt, chỉ đạo, giám sát các đối tượng thực hiện Quy chế này.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14. Tổ chức thực hiện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Quy chế này đã được công khai thảo luận rộng rãi, dân chủ trong trường trước khi Hiệu trưởng ký ban hành. Sau khi ban hành, văn phòng có trách nhiệm công khai theo quy định. Các trường hợp phát sinh ngoài Quy chế này được thực hiện theo Luật Quản lý, sử dụng tài sản công, Nghị định số 151/2017/NĐ-CP và các văn bản pháp luật khác có liên quan.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Quy chế này có hiệu lực kể từ ngày ký. </w:t>
      </w:r>
    </w:p>
    <w:p w:rsidR="00FB7ED5" w:rsidRPr="00BD5C8F" w:rsidRDefault="00133239" w:rsidP="00FB7ED5">
      <w:pPr>
        <w:spacing w:before="120"/>
        <w:ind w:firstLine="720"/>
        <w:jc w:val="both"/>
        <w:rPr>
          <w:b/>
          <w:color w:val="000000"/>
          <w:sz w:val="16"/>
          <w:szCs w:val="16"/>
          <w:lang w:val="nl-NL"/>
        </w:rPr>
      </w:pPr>
      <w:r w:rsidRPr="00133239">
        <w:rPr>
          <w:rFonts w:eastAsia="Times New Roman" w:cs="Times New Roman"/>
          <w:color w:val="333333"/>
          <w:szCs w:val="28"/>
        </w:rPr>
        <w:t> </w:t>
      </w:r>
      <w:r w:rsidR="00FB7ED5" w:rsidRPr="00BD5C8F">
        <w:rPr>
          <w:color w:val="000000"/>
          <w:szCs w:val="28"/>
          <w:lang w:val="nl-NL"/>
        </w:rPr>
        <w:t>Trong quá trình thực hiện, nếu có khó khăn, vướng mắc các tr</w:t>
      </w:r>
      <w:r w:rsidR="00FB7ED5" w:rsidRPr="00BD5C8F">
        <w:rPr>
          <w:rFonts w:hint="eastAsia"/>
          <w:color w:val="000000"/>
          <w:szCs w:val="28"/>
          <w:lang w:val="nl-NL"/>
        </w:rPr>
        <w:t>ư</w:t>
      </w:r>
      <w:r w:rsidR="00FB7ED5" w:rsidRPr="00BD5C8F">
        <w:rPr>
          <w:color w:val="000000"/>
          <w:szCs w:val="28"/>
          <w:lang w:val="nl-NL"/>
        </w:rPr>
        <w:t xml:space="preserve">ởng </w:t>
      </w:r>
      <w:r w:rsidR="00FB7ED5">
        <w:rPr>
          <w:color w:val="000000"/>
          <w:szCs w:val="28"/>
          <w:lang w:val="nl-NL"/>
        </w:rPr>
        <w:t>phòng chức năng</w:t>
      </w:r>
      <w:r w:rsidR="00FB7ED5" w:rsidRPr="00BD5C8F">
        <w:rPr>
          <w:color w:val="000000"/>
          <w:szCs w:val="28"/>
          <w:lang w:val="nl-NL"/>
        </w:rPr>
        <w:t xml:space="preserve"> và các bộ phận có liên quan cần phản ánh về </w:t>
      </w:r>
      <w:r w:rsidR="00FB7ED5">
        <w:rPr>
          <w:color w:val="000000"/>
          <w:szCs w:val="28"/>
          <w:lang w:val="nl-NL"/>
        </w:rPr>
        <w:t>Bộ phận kế toán và Bộ phận văn phòng</w:t>
      </w:r>
      <w:r w:rsidR="00FB7ED5" w:rsidRPr="00BD5C8F">
        <w:rPr>
          <w:color w:val="000000"/>
          <w:szCs w:val="28"/>
          <w:lang w:val="nl-NL"/>
        </w:rPr>
        <w:t xml:space="preserve"> của </w:t>
      </w:r>
      <w:r w:rsidR="00FB7ED5">
        <w:rPr>
          <w:color w:val="000000"/>
          <w:szCs w:val="28"/>
          <w:lang w:val="nl-NL"/>
        </w:rPr>
        <w:t>trường</w:t>
      </w:r>
      <w:r w:rsidR="00FB7ED5" w:rsidRPr="00BD5C8F">
        <w:rPr>
          <w:color w:val="000000"/>
          <w:szCs w:val="28"/>
          <w:lang w:val="nl-NL"/>
        </w:rPr>
        <w:t xml:space="preserve"> để tổng hợp, báo cáo </w:t>
      </w:r>
      <w:r w:rsidR="00FB7ED5">
        <w:rPr>
          <w:color w:val="000000"/>
          <w:szCs w:val="28"/>
          <w:lang w:val="nl-NL"/>
        </w:rPr>
        <w:t>Hiệu trưởng</w:t>
      </w:r>
      <w:r w:rsidR="00FB7ED5" w:rsidRPr="00BD5C8F">
        <w:rPr>
          <w:color w:val="000000"/>
          <w:szCs w:val="28"/>
          <w:lang w:val="nl-NL"/>
        </w:rPr>
        <w:t xml:space="preserve"> để bổ sung sửa đổi để Quy chế quản lý tài sản công ngày một phù hợp với tình hình thực tế tại </w:t>
      </w:r>
      <w:r w:rsidR="00FB7ED5">
        <w:rPr>
          <w:color w:val="000000"/>
          <w:szCs w:val="28"/>
          <w:lang w:val="nl-NL"/>
        </w:rPr>
        <w:t>trường./.</w:t>
      </w:r>
    </w:p>
    <w:p w:rsidR="00FB7ED5" w:rsidRPr="00BD5C8F" w:rsidRDefault="00FB7ED5" w:rsidP="00FB7ED5">
      <w:pPr>
        <w:widowControl w:val="0"/>
        <w:tabs>
          <w:tab w:val="left" w:pos="900"/>
          <w:tab w:val="center" w:pos="7020"/>
        </w:tabs>
        <w:spacing w:after="0" w:afterAutospacing="0" w:line="240" w:lineRule="auto"/>
        <w:ind w:left="720" w:hanging="720"/>
        <w:jc w:val="both"/>
        <w:rPr>
          <w:b/>
          <w:color w:val="000000"/>
          <w:szCs w:val="28"/>
          <w:lang w:val="nl-NL"/>
        </w:rPr>
      </w:pPr>
      <w:r w:rsidRPr="00FB7ED5">
        <w:rPr>
          <w:b/>
          <w:i/>
          <w:color w:val="000000"/>
          <w:sz w:val="24"/>
          <w:szCs w:val="24"/>
          <w:lang w:val="nl-NL"/>
        </w:rPr>
        <w:t>Nơi nhận</w:t>
      </w:r>
      <w:r w:rsidRPr="00FB7ED5">
        <w:rPr>
          <w:b/>
          <w:color w:val="000000"/>
          <w:sz w:val="24"/>
          <w:szCs w:val="24"/>
          <w:lang w:val="nl-NL"/>
        </w:rPr>
        <w:t>:</w:t>
      </w:r>
      <w:r w:rsidRPr="00BD5C8F">
        <w:rPr>
          <w:b/>
          <w:color w:val="000000"/>
          <w:lang w:val="nl-NL"/>
        </w:rPr>
        <w:tab/>
      </w:r>
      <w:r>
        <w:rPr>
          <w:b/>
          <w:color w:val="000000"/>
          <w:szCs w:val="28"/>
          <w:lang w:val="nl-NL"/>
        </w:rPr>
        <w:t>HIỆU TRƯỞNG</w:t>
      </w:r>
    </w:p>
    <w:p w:rsidR="00FB7ED5" w:rsidRPr="00FB7ED5" w:rsidRDefault="00FB7ED5" w:rsidP="00FB7ED5">
      <w:pPr>
        <w:widowControl w:val="0"/>
        <w:tabs>
          <w:tab w:val="left" w:pos="900"/>
          <w:tab w:val="center" w:pos="7020"/>
        </w:tabs>
        <w:spacing w:after="0" w:afterAutospacing="0" w:line="240" w:lineRule="auto"/>
        <w:jc w:val="both"/>
        <w:rPr>
          <w:color w:val="000000"/>
          <w:sz w:val="22"/>
          <w:lang w:val="nl-NL"/>
        </w:rPr>
      </w:pPr>
      <w:r w:rsidRPr="00FB7ED5">
        <w:rPr>
          <w:color w:val="000000"/>
          <w:sz w:val="22"/>
          <w:lang w:val="nl-NL"/>
        </w:rPr>
        <w:t>- Các bộ phận;</w:t>
      </w:r>
    </w:p>
    <w:p w:rsidR="00FB7ED5" w:rsidRPr="00FB7ED5" w:rsidRDefault="00FB7ED5" w:rsidP="00916079">
      <w:pPr>
        <w:widowControl w:val="0"/>
        <w:tabs>
          <w:tab w:val="left" w:pos="900"/>
          <w:tab w:val="left" w:pos="6380"/>
          <w:tab w:val="left" w:pos="7020"/>
        </w:tabs>
        <w:spacing w:after="0" w:afterAutospacing="0" w:line="240" w:lineRule="auto"/>
        <w:jc w:val="both"/>
        <w:rPr>
          <w:color w:val="000000"/>
          <w:sz w:val="22"/>
          <w:lang w:val="nl-NL"/>
        </w:rPr>
      </w:pPr>
      <w:r w:rsidRPr="00FB7ED5">
        <w:rPr>
          <w:color w:val="000000"/>
          <w:sz w:val="22"/>
          <w:lang w:val="nl-NL"/>
        </w:rPr>
        <w:t>- Lưu: VT</w:t>
      </w:r>
      <w:r w:rsidR="00916079">
        <w:rPr>
          <w:color w:val="000000"/>
          <w:sz w:val="22"/>
          <w:lang w:val="nl-NL"/>
        </w:rPr>
        <w:tab/>
        <w:t xml:space="preserve">   ( Đã ký)</w:t>
      </w:r>
      <w:r w:rsidR="00916079">
        <w:rPr>
          <w:color w:val="000000"/>
          <w:sz w:val="22"/>
          <w:lang w:val="nl-NL"/>
        </w:rPr>
        <w:tab/>
      </w:r>
    </w:p>
    <w:p w:rsidR="00FB7ED5" w:rsidRDefault="00FB7ED5" w:rsidP="00FB7ED5">
      <w:pPr>
        <w:widowControl w:val="0"/>
        <w:tabs>
          <w:tab w:val="left" w:pos="900"/>
          <w:tab w:val="center" w:pos="7020"/>
        </w:tabs>
        <w:spacing w:after="0" w:afterAutospacing="0" w:line="240" w:lineRule="auto"/>
        <w:jc w:val="both"/>
        <w:rPr>
          <w:color w:val="000000"/>
          <w:sz w:val="22"/>
          <w:lang w:val="nl-NL"/>
        </w:rPr>
      </w:pPr>
    </w:p>
    <w:p w:rsidR="00FB7ED5" w:rsidRPr="00B67754" w:rsidRDefault="00FB7ED5" w:rsidP="00FB7ED5">
      <w:pPr>
        <w:widowControl w:val="0"/>
        <w:tabs>
          <w:tab w:val="left" w:pos="900"/>
          <w:tab w:val="center" w:pos="7020"/>
        </w:tabs>
        <w:spacing w:after="0" w:afterAutospacing="0" w:line="240" w:lineRule="auto"/>
        <w:jc w:val="both"/>
        <w:rPr>
          <w:b/>
          <w:color w:val="000000"/>
          <w:sz w:val="22"/>
          <w:lang w:val="nl-NL"/>
        </w:rPr>
      </w:pPr>
      <w:r>
        <w:rPr>
          <w:color w:val="000000"/>
          <w:sz w:val="22"/>
          <w:lang w:val="nl-NL"/>
        </w:rPr>
        <w:tab/>
      </w:r>
      <w:r>
        <w:rPr>
          <w:color w:val="000000"/>
          <w:sz w:val="22"/>
          <w:lang w:val="nl-NL"/>
        </w:rPr>
        <w:tab/>
      </w:r>
      <w:r w:rsidR="00916079">
        <w:rPr>
          <w:color w:val="000000"/>
          <w:sz w:val="22"/>
          <w:lang w:val="nl-NL"/>
        </w:rPr>
        <w:t>Nguyễn Văn Công</w:t>
      </w:r>
    </w:p>
    <w:p w:rsidR="00133239" w:rsidRPr="00133239" w:rsidRDefault="00FB7ED5" w:rsidP="00FB7ED5">
      <w:pPr>
        <w:shd w:val="clear" w:color="auto" w:fill="FFFFFF"/>
        <w:spacing w:after="0" w:afterAutospacing="0" w:line="240" w:lineRule="auto"/>
        <w:rPr>
          <w:rFonts w:eastAsia="Times New Roman" w:cs="Times New Roman"/>
          <w:color w:val="333333"/>
          <w:szCs w:val="28"/>
        </w:rPr>
      </w:pPr>
      <w:r w:rsidRPr="00BD5C8F">
        <w:rPr>
          <w:bCs/>
          <w:iCs/>
          <w:color w:val="000000"/>
          <w:szCs w:val="28"/>
          <w:lang w:val="nl-NL"/>
        </w:rPr>
        <w:t xml:space="preserve">                                              </w:t>
      </w:r>
    </w:p>
    <w:p w:rsidR="00133239" w:rsidRPr="00133239" w:rsidRDefault="00133239" w:rsidP="00133239">
      <w:pPr>
        <w:pBdr>
          <w:bottom w:val="single" w:sz="6" w:space="1" w:color="auto"/>
        </w:pBdr>
        <w:spacing w:after="0" w:afterAutospacing="0" w:line="240" w:lineRule="auto"/>
        <w:jc w:val="center"/>
        <w:rPr>
          <w:rFonts w:eastAsia="Times New Roman" w:cs="Times New Roman"/>
          <w:vanish/>
          <w:szCs w:val="28"/>
        </w:rPr>
      </w:pPr>
      <w:r w:rsidRPr="00133239">
        <w:rPr>
          <w:rFonts w:eastAsia="Times New Roman" w:cs="Times New Roman"/>
          <w:vanish/>
          <w:szCs w:val="28"/>
        </w:rPr>
        <w:t>Top of Form</w:t>
      </w:r>
    </w:p>
    <w:sectPr w:rsidR="00133239" w:rsidRPr="00133239" w:rsidSect="00B1083B">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39"/>
    <w:rsid w:val="0005108D"/>
    <w:rsid w:val="00133239"/>
    <w:rsid w:val="00877B5F"/>
    <w:rsid w:val="00916079"/>
    <w:rsid w:val="00973538"/>
    <w:rsid w:val="00B1083B"/>
    <w:rsid w:val="00E42CC4"/>
    <w:rsid w:val="00EC663A"/>
    <w:rsid w:val="00F90495"/>
    <w:rsid w:val="00FB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239"/>
    <w:pPr>
      <w:spacing w:before="100" w:beforeAutospacing="1" w:line="240" w:lineRule="auto"/>
    </w:pPr>
    <w:rPr>
      <w:rFonts w:eastAsia="Times New Roman" w:cs="Times New Roman"/>
      <w:sz w:val="24"/>
      <w:szCs w:val="24"/>
    </w:rPr>
  </w:style>
  <w:style w:type="character" w:styleId="Emphasis">
    <w:name w:val="Emphasis"/>
    <w:basedOn w:val="DefaultParagraphFont"/>
    <w:uiPriority w:val="20"/>
    <w:qFormat/>
    <w:rsid w:val="00133239"/>
    <w:rPr>
      <w:i/>
      <w:iCs/>
    </w:rPr>
  </w:style>
  <w:style w:type="paragraph" w:styleId="z-TopofForm">
    <w:name w:val="HTML Top of Form"/>
    <w:basedOn w:val="Normal"/>
    <w:next w:val="Normal"/>
    <w:link w:val="z-TopofFormChar"/>
    <w:hidden/>
    <w:uiPriority w:val="99"/>
    <w:semiHidden/>
    <w:unhideWhenUsed/>
    <w:rsid w:val="00133239"/>
    <w:pPr>
      <w:pBdr>
        <w:bottom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3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3239"/>
    <w:pPr>
      <w:pBdr>
        <w:top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323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B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239"/>
    <w:pPr>
      <w:spacing w:before="100" w:beforeAutospacing="1" w:line="240" w:lineRule="auto"/>
    </w:pPr>
    <w:rPr>
      <w:rFonts w:eastAsia="Times New Roman" w:cs="Times New Roman"/>
      <w:sz w:val="24"/>
      <w:szCs w:val="24"/>
    </w:rPr>
  </w:style>
  <w:style w:type="character" w:styleId="Emphasis">
    <w:name w:val="Emphasis"/>
    <w:basedOn w:val="DefaultParagraphFont"/>
    <w:uiPriority w:val="20"/>
    <w:qFormat/>
    <w:rsid w:val="00133239"/>
    <w:rPr>
      <w:i/>
      <w:iCs/>
    </w:rPr>
  </w:style>
  <w:style w:type="paragraph" w:styleId="z-TopofForm">
    <w:name w:val="HTML Top of Form"/>
    <w:basedOn w:val="Normal"/>
    <w:next w:val="Normal"/>
    <w:link w:val="z-TopofFormChar"/>
    <w:hidden/>
    <w:uiPriority w:val="99"/>
    <w:semiHidden/>
    <w:unhideWhenUsed/>
    <w:rsid w:val="00133239"/>
    <w:pPr>
      <w:pBdr>
        <w:bottom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3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3239"/>
    <w:pPr>
      <w:pBdr>
        <w:top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323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B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31">
      <w:bodyDiv w:val="1"/>
      <w:marLeft w:val="0"/>
      <w:marRight w:val="0"/>
      <w:marTop w:val="0"/>
      <w:marBottom w:val="0"/>
      <w:divBdr>
        <w:top w:val="none" w:sz="0" w:space="0" w:color="auto"/>
        <w:left w:val="none" w:sz="0" w:space="0" w:color="auto"/>
        <w:bottom w:val="none" w:sz="0" w:space="0" w:color="auto"/>
        <w:right w:val="none" w:sz="0" w:space="0" w:color="auto"/>
      </w:divBdr>
      <w:divsChild>
        <w:div w:id="565800647">
          <w:marLeft w:val="0"/>
          <w:marRight w:val="0"/>
          <w:marTop w:val="0"/>
          <w:marBottom w:val="270"/>
          <w:divBdr>
            <w:top w:val="single" w:sz="6" w:space="0" w:color="DDDDDD"/>
            <w:left w:val="single" w:sz="6" w:space="0" w:color="DDDDDD"/>
            <w:bottom w:val="single" w:sz="6" w:space="0" w:color="DDDDDD"/>
            <w:right w:val="single" w:sz="6" w:space="0" w:color="DDDDDD"/>
          </w:divBdr>
          <w:divsChild>
            <w:div w:id="997853289">
              <w:marLeft w:val="0"/>
              <w:marRight w:val="0"/>
              <w:marTop w:val="0"/>
              <w:marBottom w:val="0"/>
              <w:divBdr>
                <w:top w:val="none" w:sz="0" w:space="0" w:color="auto"/>
                <w:left w:val="none" w:sz="0" w:space="0" w:color="auto"/>
                <w:bottom w:val="none" w:sz="0" w:space="0" w:color="auto"/>
                <w:right w:val="none" w:sz="0" w:space="0" w:color="auto"/>
              </w:divBdr>
              <w:divsChild>
                <w:div w:id="1579824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2473831">
          <w:marLeft w:val="0"/>
          <w:marRight w:val="0"/>
          <w:marTop w:val="0"/>
          <w:marBottom w:val="270"/>
          <w:divBdr>
            <w:top w:val="single" w:sz="6" w:space="0" w:color="DDDDDD"/>
            <w:left w:val="single" w:sz="6" w:space="0" w:color="DDDDDD"/>
            <w:bottom w:val="single" w:sz="6" w:space="0" w:color="DDDDDD"/>
            <w:right w:val="single" w:sz="6" w:space="0" w:color="DDDDDD"/>
          </w:divBdr>
          <w:divsChild>
            <w:div w:id="112750919">
              <w:marLeft w:val="0"/>
              <w:marRight w:val="0"/>
              <w:marTop w:val="0"/>
              <w:marBottom w:val="0"/>
              <w:divBdr>
                <w:top w:val="none" w:sz="0" w:space="0" w:color="auto"/>
                <w:left w:val="none" w:sz="0" w:space="0" w:color="auto"/>
                <w:bottom w:val="none" w:sz="0" w:space="0" w:color="auto"/>
                <w:right w:val="none" w:sz="0" w:space="0" w:color="auto"/>
              </w:divBdr>
              <w:divsChild>
                <w:div w:id="30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 TUONG</cp:lastModifiedBy>
  <cp:revision>2</cp:revision>
  <cp:lastPrinted>2020-09-25T04:14:00Z</cp:lastPrinted>
  <dcterms:created xsi:type="dcterms:W3CDTF">2020-09-26T04:11:00Z</dcterms:created>
  <dcterms:modified xsi:type="dcterms:W3CDTF">2020-09-26T04:11:00Z</dcterms:modified>
</cp:coreProperties>
</file>